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broken.</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w:t>
      </w:r>
      <w:r>
        <w:rPr>
          <w:b/>
        </w:rPr>
        <w:t xml:space="preserve">???</w:t>
      </w:r>
      <w:r>
        <w:t xml:space="preserve">; Krause</w:t>
      </w:r>
      <w:r>
        <w:t xml:space="preserve"> </w:t>
      </w:r>
      <w:r>
        <w:rPr>
          <w:i/>
        </w:rPr>
        <w:t xml:space="preserve">et al.</w:t>
      </w:r>
      <w:r>
        <w:t xml:space="preserve">, 2018)</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how these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.Especially when canopy height and leaf area index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 types</w:t>
      </w:r>
      <w:r>
        <w:rPr>
          <w:b/>
        </w:rPr>
        <w:t xml:space="preserve"> </w:t>
      </w:r>
      <w:r>
        <w:rPr>
          <w:b/>
        </w:rPr>
        <w:t xml:space="preserve">(Figs. 2, S1,</w:t>
      </w:r>
      <w:r>
        <w:rPr>
          <w:b/>
        </w:rPr>
        <w:t xml:space="preserve"> </w:t>
      </w:r>
      <w:r>
        <w:rPr>
          <w:b/>
          <w:b/>
        </w:rPr>
        <w:t xml:space="preserve">???</w:t>
      </w:r>
      <w:r>
        <w:rPr>
          <w:b/>
        </w:rPr>
        <w:t xml:space="preserve">)</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(shaped by VPD and photosynthetic CO2 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give upper canopy leaves lower sensitivity to intercepted radiation (Fig. 3a) and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(lower canopy LAI) allow more vertical air mixing and sunlight into the understory, and this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of the lower canopy more than that of the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 Carter</w:t>
      </w:r>
      <w:r>
        <w:t xml:space="preserve"> </w:t>
      </w:r>
      <w:r>
        <w:rPr>
          <w:i/>
        </w:rPr>
        <w:t xml:space="preserve">et al.</w:t>
      </w:r>
      <w:r>
        <w:t xml:space="preserve">; 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 temperature</w:t>
      </w:r>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Across biomes, including mesic forests, surface conductance and evapotranspiration tend to be more strongly limited by high atmospheric demand (high</w:t>
      </w:r>
      <w:r>
        <w:t xml:space="preserve"> </w:t>
      </w:r>
      <m:oMath>
        <m:sSub>
          <m:e>
            <m:r>
              <m:t>T</m:t>
            </m:r>
          </m:e>
          <m:sub>
            <m:r>
              <m:t>a</m:t>
            </m:r>
            <m:r>
              <m:t>i</m:t>
            </m:r>
            <m:r>
              <m:t>r</m:t>
            </m:r>
          </m:sub>
        </m:sSub>
      </m:oMath>
      <w:r>
        <w:t xml:space="preserve"> </w:t>
      </w:r>
      <w:r>
        <w:t xml:space="preserve">and</w:t>
      </w:r>
      <w:r>
        <w:t xml:space="preserve"> </w:t>
      </w:r>
      <m:oMath>
        <m:r>
          <m:t>V</m:t>
        </m:r>
        <m:r>
          <m:t>P</m:t>
        </m:r>
        <m:r>
          <m:t>D</m:t>
        </m:r>
      </m:oMath>
      <w:r>
        <w:t xml:space="preserve">,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the time scale of hours (</w:t>
      </w:r>
      <w:r>
        <w:rPr>
          <w:b/>
        </w:rPr>
        <w:t xml:space="preserve">REFS?</w:t>
      </w:r>
      <w:r>
        <w:t xml:space="preserve">), days</w:t>
      </w:r>
      <w:r>
        <w:t xml:space="preserve"> </w:t>
      </w:r>
      <w:r>
        <w:t xml:space="preserve">(Anderson-Teixeira</w:t>
      </w:r>
      <w:r>
        <w:t xml:space="preserve"> </w:t>
      </w:r>
      <w:r>
        <w:rPr>
          <w:i/>
        </w:rPr>
        <w:t xml:space="preserve">et al.</w:t>
      </w:r>
      <w:r>
        <w:t xml:space="preserve">, 2015)</w:t>
      </w:r>
      <w:r>
        <w:t xml:space="preserve">, seasons</w:t>
      </w:r>
      <w:r>
        <w:t xml:space="preserve"> </w:t>
      </w:r>
      <w:r>
        <w:t xml:space="preserve">(Christoffersen</w:t>
      </w:r>
      <w:r>
        <w:t xml:space="preserve"> </w:t>
      </w:r>
      <w:r>
        <w:rPr>
          <w:i/>
        </w:rPr>
        <w:t xml:space="preserve">et al.</w:t>
      </w:r>
      <w:r>
        <w:t xml:space="preserve">, 2016)</w:t>
      </w:r>
      <w:r>
        <w:t xml:space="preserve">, or years (</w:t>
      </w:r>
      <w:r>
        <w:rPr>
          <w:b/>
        </w:rPr>
        <w:t xml:space="preserve">? REFS?</w:t>
      </w:r>
      <w:r>
        <w:t xml:space="preserve">).</w:t>
      </w:r>
    </w:p>
    <w:p>
      <w:pPr>
        <w:numPr>
          <w:ilvl w:val="0"/>
          <w:numId w:val="1002"/>
        </w:numPr>
        <w:pStyle w:val="Compact"/>
      </w:pPr>
      <w:r>
        <w:t xml:space="preserve">Taller trees in the Amazon had greater stomatal sensitivity to drought, resulting in greater reductions transpiration and photosynthesis</w:t>
      </w:r>
      <w:r>
        <w:t xml:space="preserve"> </w:t>
      </w:r>
      <w:r>
        <w:t xml:space="preserve">(Garcia</w:t>
      </w:r>
      <w:r>
        <w:t xml:space="preserve"> </w:t>
      </w:r>
      <w:r>
        <w:rPr>
          <w:i/>
        </w:rPr>
        <w:t xml:space="preserve">et al.</w:t>
      </w:r>
      <w:r>
        <w:t xml:space="preserve">, 2021)</w:t>
      </w:r>
      <w:r>
        <w:t xml:space="preserve">.</w:t>
      </w:r>
    </w:p>
    <w:p>
      <w:pPr>
        <w:numPr>
          <w:ilvl w:val="0"/>
          <w:numId w:val="1002"/>
        </w:numPr>
        <w:pStyle w:val="Compact"/>
      </w:pPr>
      <w:r>
        <w:t xml:space="preserve">Christoffersen</w:t>
      </w:r>
      <w:r>
        <w:t xml:space="preserve"> </w:t>
      </w:r>
      <w:r>
        <w:rPr>
          <w:i/>
        </w:rPr>
        <w:t xml:space="preserve">et al.</w:t>
      </w:r>
      <w:r>
        <w:t xml:space="preserve"> </w:t>
      </w:r>
      <w:r>
        <w:t xml:space="preserve">(2016)</w:t>
      </w:r>
      <w:r>
        <w:t xml:space="preserve"> </w:t>
      </w:r>
      <w:r>
        <w:t xml:space="preserve">uses trait-based modeling to show that canopy trees have lower dry-season: wet-season transpiration.</w:t>
      </w:r>
    </w:p>
    <w:p>
      <w:pPr>
        <w:numPr>
          <w:ilvl w:val="0"/>
          <w:numId w:val="1002"/>
        </w:numPr>
        <w:pStyle w:val="Compact"/>
      </w:pPr>
      <w:r>
        <w:t xml:space="preserve">Smaller trees also have greater capacity to adjust traits realted carbon metabolism to drought</w:t>
      </w:r>
      <w:r>
        <w:t xml:space="preserve"> </w:t>
      </w:r>
      <w:r>
        <w:t xml:space="preserve">(Bartholomew</w:t>
      </w:r>
      <w:r>
        <w:t xml:space="preserve"> </w:t>
      </w:r>
      <w:r>
        <w:rPr>
          <w:i/>
        </w:rPr>
        <w:t xml:space="preserve">et al.</w:t>
      </w:r>
      <w:r>
        <w:t xml:space="preserve">, 2020)</w:t>
      </w:r>
    </w:p>
    <w:p>
      <w:pPr>
        <w:numPr>
          <w:ilvl w:val="0"/>
          <w:numId w:val="1002"/>
        </w:numPr>
        <w:pStyle w:val="Compact"/>
      </w:pPr>
      <w:r>
        <w:rPr>
          <w:i/>
        </w:rPr>
        <w:t xml:space="preserve">(it would be good to find a relevant study for open forests– perhaps track down studies mentioned by Bev Law)</w:t>
      </w:r>
    </w:p>
    <w:p>
      <w:pPr>
        <w:pStyle w:val="FirstParagraph"/>
      </w:pPr>
      <w:r>
        <w:t xml:space="preserve">In contrast,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interannual climate sensitivity of annual woody growth can be determined through analysis of tree-ring increments and sometimes forest census data.</w:t>
      </w:r>
      <w:r>
        <w:t xml:space="preserve"> </w:t>
      </w:r>
      <w:r>
        <w:t xml:space="preserve">While it is generally accepted that large, exposed trees display the greatest climate sensitivity and are therefore best for climate reconstructions (</w:t>
      </w:r>
      <w:r>
        <w:rPr>
          <w:b/>
        </w:rPr>
        <w:t xml:space="preserve">REFS–KAT</w:t>
      </w:r>
      <w:r>
        <w:t xml:space="preserve">), only a relatively limited number of studies have directly examined drought- or temperature- sensitivities as a function of tree size.</w:t>
      </w:r>
      <w:r>
        <w:t xml:space="preserve"> </w:t>
      </w:r>
      <w:r>
        <w:t xml:space="preserve">These have generally found greater sensitivity to low precipitation or high temperatures among large/ canopy trees</w:t>
      </w:r>
      <w:r>
        <w:t xml:space="preserve"> </w:t>
      </w:r>
      <w:r>
        <w:t xml:space="preserve">(</w:t>
      </w:r>
      <w:r>
        <w:rPr>
          <w:b/>
        </w:rPr>
        <w:t xml:space="preserve">Fig. 4</w:t>
      </w:r>
      <w:r>
        <w:t xml:space="preserve">, McGregor</w:t>
      </w:r>
      <w:r>
        <w:t xml:space="preserve"> </w:t>
      </w:r>
      <w:r>
        <w:rPr>
          <w:i/>
        </w:rPr>
        <w:t xml:space="preserve">et al.</w:t>
      </w:r>
      <w:r>
        <w:t xml:space="preserve">, 2021;</w:t>
      </w:r>
      <w:r>
        <w:t xml:space="preserve"> </w:t>
      </w:r>
      <w:r>
        <w:rPr>
          <w:b/>
        </w:rPr>
        <w:t xml:space="preserve">???</w:t>
      </w:r>
      <w:r>
        <w:t xml:space="preserve">)</w:t>
      </w:r>
      <w:r>
        <w:t xml:space="preserve"> </w:t>
      </w:r>
      <w:r>
        <w:t xml:space="preserve">, corroborating evidence from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Despite the potential for shorter trees in open forests to experience greater environmental stress [</w:t>
      </w:r>
      <w:r>
        <w:rPr>
          <w:i/>
        </w:rPr>
        <w:t xml:space="preserve">Fig. 1b</w:t>
      </w:r>
      <w:r>
        <w:t xml:space="preserve">;</w:t>
      </w:r>
      <w:r>
        <w:t xml:space="preserve"> </w:t>
      </w:r>
      <w:r>
        <w:rPr>
          <w:b/>
        </w:rPr>
        <w:t xml:space="preserve">REFS</w:t>
      </w:r>
      <w:r>
        <w:t xml:space="preserve">], this pattern has been observed in open as well as closed-canopy forests</w:t>
      </w:r>
      <w:r>
        <w:t xml:space="preserve"> </w:t>
      </w:r>
      <w:r>
        <w:t xml:space="preserve">(</w:t>
      </w:r>
      <w:r>
        <w:rPr>
          <w:b/>
        </w:rPr>
        <w:t xml:space="preserve">???</w:t>
      </w:r>
      <w:r>
        <w:t xml:space="preserve">; Bennett</w:t>
      </w:r>
      <w:r>
        <w:t xml:space="preserve"> </w:t>
      </w:r>
      <w:r>
        <w:rPr>
          <w:i/>
        </w:rPr>
        <w:t xml:space="preserve">et al.</w:t>
      </w:r>
      <w:r>
        <w:t xml:space="preserve">, 2015)</w:t>
      </w:r>
      <w:r>
        <w:t xml:space="preserve">.</w:t>
      </w:r>
    </w:p>
    <w:p>
      <w:pPr>
        <w:pStyle w:val="BodyText"/>
      </w:pPr>
      <w:r>
        <w:t xml:space="preserve">There are, however, notable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w:t>
      </w:r>
      <w:r>
        <w:t xml:space="preserve">.</w:t>
      </w:r>
      <w:r>
        <w:t xml:space="preserve"> </w:t>
      </w:r>
      <w:r>
        <w:t xml:space="preserve">Similarly, in tropical forests higher night-time temperatures have been associated with decelerating tree growth rates predominantly in smaller trees</w:t>
      </w:r>
      <w:r>
        <w:t xml:space="preserve"> </w:t>
      </w:r>
      <w:r>
        <w:rPr>
          <w:i/>
        </w:rPr>
        <w:t xml:space="preserve">but also in taller trees</w:t>
      </w:r>
      <w:r>
        <w:t xml:space="preserve"> </w:t>
      </w:r>
      <w:r>
        <w:t xml:space="preserve">[</w:t>
      </w:r>
      <w:r>
        <w:t xml:space="preserve">Clark</w:t>
      </w:r>
      <w:r>
        <w:t xml:space="preserve"> </w:t>
      </w:r>
      <w:r>
        <w:rPr>
          <w:i/>
        </w:rPr>
        <w:t xml:space="preserve">et al.</w:t>
      </w:r>
      <w:r>
        <w:t xml:space="preserve"> </w:t>
      </w:r>
      <w:r>
        <w:t xml:space="preserve">(2003)</w:t>
      </w:r>
      <w:r>
        <w:t xml:space="preserve">;</w:t>
      </w:r>
      <w:r>
        <w:t xml:space="preserve"> </w:t>
      </w:r>
      <w:r>
        <w:t xml:space="preserve">Clark</w:t>
      </w:r>
      <w:r>
        <w:t xml:space="preserve"> </w:t>
      </w:r>
      <w:r>
        <w:rPr>
          <w:i/>
        </w:rPr>
        <w:t xml:space="preserve">et al.</w:t>
      </w:r>
      <w:r>
        <w:t xml:space="preserve"> </w:t>
      </w:r>
      <w:r>
        <w:t xml:space="preserve">(2010)</w:t>
      </w:r>
      <w:r>
        <w:t xml:space="preserve">;</w:t>
      </w:r>
      <w:r>
        <w:t xml:space="preserve"> </w:t>
      </w:r>
      <w:r>
        <w:t xml:space="preserve">Feeley</w:t>
      </w:r>
      <w:r>
        <w:t xml:space="preserve"> </w:t>
      </w:r>
      <w:r>
        <w:rPr>
          <w:i/>
        </w:rPr>
        <w:t xml:space="preserve">et al.</w:t>
      </w:r>
      <w:r>
        <w:t xml:space="preserve"> </w:t>
      </w:r>
      <w:r>
        <w:t xml:space="preserve">(2007)</w:t>
      </w:r>
      <w:r>
        <w:t xml:space="preserve">;</w:t>
      </w:r>
      <w:r>
        <w:t xml:space="preserve"> </w:t>
      </w:r>
      <w:r>
        <w:t xml:space="preserve">Vlam</w:t>
      </w:r>
      <w:r>
        <w:t xml:space="preserve"> </w:t>
      </w:r>
      <w:r>
        <w:rPr>
          <w:i/>
        </w:rPr>
        <w:t xml:space="preserve">et al.</w:t>
      </w:r>
      <w:r>
        <w:t xml:space="preserve"> </w:t>
      </w:r>
      <w:r>
        <w:t xml:space="preserve">(2014)</w:t>
      </w:r>
      <w:r>
        <w:t xml:space="preserve">*].</w:t>
      </w:r>
      <w:r>
        <w:t xml:space="preserve"> </w:t>
      </w:r>
      <w:r>
        <w:t xml:space="preserve">Potential mechanisms for these patterns include increases in nighttime respiratory carbon loss that disproportionately reduced carbon availability for growth among small trees, or that understory</w:t>
      </w:r>
      <w:r>
        <w:t xml:space="preserve"> </w:t>
      </w:r>
      <m:oMath>
        <m:sSub>
          <m:e>
            <m:r>
              <m:t>g</m:t>
            </m:r>
          </m:e>
          <m:sub>
            <m:r>
              <m:t>s</m:t>
            </m:r>
          </m:sub>
        </m:sSub>
      </m:oMath>
      <w:r>
        <w:t xml:space="preserve"> </w:t>
      </w:r>
      <w:r>
        <w:t xml:space="preserve">might be stifled under humid conditions, resulting in higher</w:t>
      </w:r>
      <w:r>
        <w:t xml:space="preserve"> </w:t>
      </w:r>
      <m:oMath>
        <m:sSub>
          <m:e>
            <m:r>
              <m:t>T</m:t>
            </m:r>
          </m:e>
          <m:sub>
            <m:r>
              <m:t>l</m:t>
            </m:r>
            <m:r>
              <m:t>e</m:t>
            </m:r>
            <m:r>
              <m:t>a</m:t>
            </m:r>
            <m:r>
              <m:t>f</m:t>
            </m:r>
          </m:sub>
        </m:sSub>
      </m:oMath>
      <w:r>
        <w:t xml:space="preserve"> </w:t>
      </w:r>
      <w:r>
        <w:t xml:space="preserve">(Fig. 3) and lower photosynthesis.</w:t>
      </w:r>
      <w:r>
        <w:t xml:space="preserve"> </w:t>
      </w:r>
      <w:r>
        <w:t xml:space="preserve">It is also possible that higher temperatures reduce understory tree growth in these forests through an indirect mechanism, such as accelerated competition under warmer temperatures.</w:t>
      </w:r>
      <w:r>
        <w:t xml:space="preserve"> </w:t>
      </w:r>
      <w:r>
        <w:t xml:space="preserve">Additional research is required to understand these mechanisms and to disentangle tree growth responses to hot-wet versus hot-dry conditions.</w:t>
      </w:r>
    </w:p>
    <w:p>
      <w:pPr>
        <w:pStyle w:val="SourceCode"/>
      </w:pPr>
      <w:r>
        <w:rPr>
          <w:rStyle w:val="VerbatimChar"/>
        </w:rPr>
        <w:t xml:space="preserve">misc content to incorpoarte:</w:t>
      </w:r>
      <w:r>
        <w:br/>
      </w:r>
      <w:r>
        <w:br/>
      </w:r>
      <w:r>
        <w:rPr>
          <w:rStyle w:val="VerbatimChar"/>
        </w:rPr>
        <w:t xml:space="preserve">- evidence in mesic temperate and subtropical eucalyptus forests shows that higher temperatures primarily reduced tree growth through altering water availability  [@bowmanWarmerWorldWill2014]. </w:t>
      </w:r>
      <w:r>
        <w:br/>
      </w:r>
      <w:r>
        <w:br/>
      </w:r>
      <w:r>
        <w:rPr>
          <w:rStyle w:val="VerbatimChar"/>
        </w:rPr>
        <w:t xml:space="preserve">- In other cases, warming is associated with taller understory trees with lower LMA that complete their lifecycle under closed-canopy temperate forests [@maesPlantFunctionalTrait2020]. ALso, tropical warming experiment showed increased growth (**Winter**)</w:t>
      </w:r>
      <w:r>
        <w:br/>
      </w:r>
      <w:r>
        <w:br/>
      </w:r>
      <w:r>
        <w:rPr>
          <w:rStyle w:val="VerbatimChar"/>
        </w:rP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 [@filewodImpactsSpringHeat2014]. Increase in summer temperature is also associated with reduced forest carbon storage [@oishiWarmerTemperaturesReduce2018].</w:t>
      </w:r>
      <w:r>
        <w:br/>
      </w:r>
      <w:r>
        <w:br/>
      </w:r>
      <w:r>
        <w:br/>
      </w:r>
      <w:r>
        <w:rPr>
          <w:rStyle w:val="VerbatimChar"/>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47">
        <w:r>
          <w:rPr>
            <w:rStyle w:val="Hyperlink"/>
          </w:rPr>
          <w:t xml:space="preserve">ISSUE # 29</w:t>
        </w:r>
      </w:hyperlink>
      <w:r>
        <w:t xml:space="preserve">.</w:t>
      </w:r>
    </w:p>
    <w:p>
      <w:pPr>
        <w:pStyle w:val="BodyText"/>
      </w:pPr>
      <w:r>
        <w:rPr>
          <w:b/>
        </w:rPr>
        <w:t xml:space="preserve">Tree mortality risk from climate-related stress is also size-structured.</w:t>
      </w:r>
    </w:p>
    <w:p>
      <w:pPr>
        <w:numPr>
          <w:ilvl w:val="0"/>
          <w:numId w:val="1003"/>
        </w:numPr>
        <w:pStyle w:val="Compact"/>
      </w:pPr>
      <w:r>
        <w:t xml:space="preserve">most common trend is higher risk of drought mortality for larger trees</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 including in open forests (</w:t>
      </w:r>
      <w:r>
        <w:rPr>
          <w:b/>
        </w:rPr>
        <w:t xml:space="preserve">REFS</w:t>
      </w:r>
      <w:r>
        <w:t xml:space="preserve">).</w:t>
      </w:r>
      <w:r>
        <w:t xml:space="preserve"> </w:t>
      </w:r>
      <w:r>
        <w:rPr>
          <w:i/>
        </w:rPr>
        <w:t xml:space="preserve">(However, there are exceptions…)</w:t>
      </w:r>
    </w:p>
    <w:p>
      <w:pPr>
        <w:numPr>
          <w:ilvl w:val="0"/>
          <w:numId w:val="1003"/>
        </w:numPr>
        <w:pStyle w:val="Compact"/>
      </w:pPr>
      <w:r>
        <w:t xml:space="preserve">also, greater risks of lightning, blow-down, etc. (</w:t>
      </w:r>
      <w:r>
        <w:t xml:space="preserve">Gora &amp; Esquivel-Muelbert (2021)</w:t>
      </w:r>
      <w:r>
        <w:t xml:space="preserve">)</w:t>
      </w:r>
      <w:r>
        <w:t xml:space="preserve"> </w:t>
      </w:r>
      <w:r>
        <w:rPr>
          <w:i/>
        </w:rPr>
        <w:t xml:space="preserve">(although this isn’t temperature-related, so should get minimal attention, if at all)</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metabolism– i.e., transpiration, GPP, woody productivity (</w:t>
      </w:r>
      <m:oMath>
        <m:r>
          <m:t>A</m:t>
        </m:r>
        <m:r>
          <m:t>N</m:t>
        </m:r>
        <m:r>
          <m:t>P</m:t>
        </m:r>
        <m:sSub>
          <m:e>
            <m:r>
              <m:t>P</m:t>
            </m:r>
          </m:e>
          <m:sub>
            <m:r>
              <m:t>w</m:t>
            </m:r>
            <m:r>
              <m:t>o</m:t>
            </m:r>
            <m:r>
              <m:t>o</m:t>
            </m:r>
            <m:r>
              <m:t>d</m:t>
            </m:r>
            <m:r>
              <m:t>y</m:t>
            </m:r>
          </m:sub>
        </m:sSub>
      </m:oMath>
      <w:r>
        <w:rPr>
          <w:b/>
        </w:rPr>
        <w:t xml:space="preserve">).</w:t>
      </w:r>
    </w:p>
    <w:p>
      <w:pPr>
        <w:numPr>
          <w:ilvl w:val="0"/>
          <w:numId w:val="1004"/>
        </w:numPr>
        <w:pStyle w:val="Compact"/>
      </w:pPr>
      <w:r>
        <w:t xml:space="preserve">ET:</w:t>
      </w:r>
      <w:r>
        <w:t xml:space="preserve"> </w:t>
      </w:r>
      <w:r>
        <w:t xml:space="preserve">“</w:t>
      </w: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r>
        <w:t xml:space="preserve">”</w:t>
      </w:r>
      <w:r>
        <w:t xml:space="preserve"> </w:t>
      </w:r>
      <w:r>
        <w:rPr>
          <w:i/>
        </w:rPr>
        <w:t xml:space="preserve">(condense this by quite a lot. I don’t think all the info here is necessary)</w:t>
      </w:r>
    </w:p>
    <w:p>
      <w:pPr>
        <w:numPr>
          <w:ilvl w:val="0"/>
          <w:numId w:val="1004"/>
        </w:numPr>
        <w:pStyle w:val="Compact"/>
      </w:pPr>
      <w:r>
        <w:t xml:space="preserve">ET :</w:t>
      </w:r>
      <w:r>
        <w:t xml:space="preserve"> </w:t>
      </w:r>
      <w:r>
        <w:t xml:space="preserve">“</w:t>
      </w: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w:t>
      </w:r>
      <w:r>
        <w:t xml:space="preserve">”</w:t>
      </w:r>
      <w:r>
        <w:t xml:space="preserve"> </w:t>
      </w:r>
      <w:r>
        <w:t xml:space="preserve">-</w:t>
      </w:r>
      <w:r>
        <w:t xml:space="preserve"> </w:t>
      </w:r>
      <w:r>
        <w:rPr>
          <w:i/>
        </w:rPr>
        <w:t xml:space="preserve">(revise this to focus on the observed patterns, with at most brief mention of the methods)</w:t>
      </w:r>
    </w:p>
    <w:p>
      <w:pPr>
        <w:numPr>
          <w:ilvl w:val="0"/>
          <w:numId w:val="1004"/>
        </w:numPr>
        <w:pStyle w:val="Compact"/>
      </w:pPr>
      <w:r>
        <w:t xml:space="preserve">GPP : ??</w:t>
      </w:r>
    </w:p>
    <w:p>
      <w:pPr>
        <w:numPr>
          <w:ilvl w:val="0"/>
          <w:numId w:val="1004"/>
        </w:numPr>
        <w:pStyle w:val="Compact"/>
      </w:pPr>
      <m:oMath>
        <m:r>
          <m:t>A</m:t>
        </m:r>
        <m:r>
          <m:t>N</m:t>
        </m:r>
        <m:r>
          <m:t>P</m:t>
        </m:r>
        <m:sSub>
          <m:e>
            <m:r>
              <m:t>P</m:t>
            </m:r>
          </m:e>
          <m:sub>
            <m:r>
              <m:t>w</m:t>
            </m:r>
            <m:r>
              <m:t>o</m:t>
            </m:r>
            <m:r>
              <m:t>o</m:t>
            </m:r>
            <m:r>
              <m:t>d</m:t>
            </m:r>
            <m:r>
              <m:t>y</m:t>
            </m:r>
          </m:sub>
        </m:sSub>
      </m:oMath>
      <w:r>
        <w:t xml:space="preserve">: Piponiot et al., accepted,</w:t>
      </w:r>
      <w:r>
        <w:t xml:space="preserve"> </w:t>
      </w:r>
      <w:r>
        <w:t xml:space="preserve">Meakem</w:t>
      </w:r>
      <w:r>
        <w:t xml:space="preserve"> </w:t>
      </w:r>
      <w:r>
        <w:rPr>
          <w:i/>
        </w:rPr>
        <w:t xml:space="preserve">et al.</w:t>
      </w:r>
      <w:r>
        <w:t xml:space="preserve"> </w:t>
      </w:r>
      <w:r>
        <w:t xml:space="preserve">(2018)</w:t>
      </w:r>
      <w:r>
        <w:t xml:space="preserve">, New Phyt</w:t>
      </w:r>
    </w:p>
    <w:p>
      <w:pPr>
        <w:pStyle w:val="FirstParagraph"/>
      </w:pPr>
      <w:r>
        <w:rPr>
          <w:b/>
        </w:rPr>
        <w:t xml:space="preserve">Less clear is how thermal sensitivity varies across strata.</w:t>
      </w:r>
    </w:p>
    <w:p>
      <w:pPr>
        <w:numPr>
          <w:ilvl w:val="0"/>
          <w:numId w:val="1005"/>
        </w:numPr>
        <w:pStyle w:val="Compact"/>
      </w:pPr>
      <w:r>
        <w:t xml:space="preserve">ET:</w:t>
      </w:r>
      <w:r>
        <w:t xml:space="preserve"> </w:t>
      </w:r>
      <w:r>
        <w:t xml:space="preserve">“</w:t>
      </w:r>
      <w:r>
        <w:t xml:space="preserve">With respect to changing temperatures, the net effect of leaf- and plant-level thermal responses remains an active area of research, including both how vertical variation in thermal sensitivity influences forest ecosystem dynamics and biosphere-atmosphere interactions.</w:t>
      </w:r>
      <w:r>
        <w:t xml:space="preserve">”</w:t>
      </w:r>
    </w:p>
    <w:p>
      <w:pPr>
        <w:numPr>
          <w:ilvl w:val="0"/>
          <w:numId w:val="1005"/>
        </w:numPr>
        <w:pStyle w:val="Compact"/>
      </w:pPr>
      <w:r>
        <w:t xml:space="preserve">GPP : ??</w:t>
      </w:r>
    </w:p>
    <w:p>
      <w:pPr>
        <w:numPr>
          <w:ilvl w:val="0"/>
          <w:numId w:val="1005"/>
        </w:numPr>
        <w:pStyle w:val="Compact"/>
      </w:pPr>
      <m:oMath>
        <m:r>
          <m:t>A</m:t>
        </m:r>
        <m:r>
          <m:t>N</m:t>
        </m:r>
        <m:r>
          <m:t>P</m:t>
        </m:r>
        <m:sSub>
          <m:e>
            <m:r>
              <m:t>P</m:t>
            </m:r>
          </m:e>
          <m:sub>
            <m:r>
              <m:t>w</m:t>
            </m:r>
            <m:r>
              <m:t>o</m:t>
            </m:r>
            <m:r>
              <m:t>o</m:t>
            </m:r>
            <m:r>
              <m:t>d</m:t>
            </m:r>
            <m:r>
              <m:t>y</m:t>
            </m:r>
          </m:sub>
        </m:sSub>
      </m:oMath>
      <w:r>
        <w:t xml:space="preserve">: if we scale tree-rings to the ecosystem level, we expect that woody productivity of canopy trees is more sensitive to drought, but perhaps less sensitive to wet heat. More research is needed here.</w:t>
      </w:r>
    </w:p>
    <w:bookmarkEnd w:id="49"/>
    <w:bookmarkEnd w:id="50"/>
    <w:bookmarkStart w:id="51"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6"/>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6"/>
        </w:numPr>
        <w:pStyle w:val="Compact"/>
      </w:pPr>
      <w:r>
        <w:t xml:space="preserve">a number of studies confirm that this is the case.</w:t>
      </w:r>
    </w:p>
    <w:p>
      <w:pPr>
        <w:numPr>
          <w:ilvl w:val="0"/>
          <w:numId w:val="1006"/>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6"/>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6"/>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39" w:name="references"/>
    <w:p>
      <w:pPr>
        <w:pStyle w:val="Heading2"/>
      </w:pPr>
      <w:r>
        <w:t xml:space="preserve">References</w:t>
      </w:r>
    </w:p>
    <w:bookmarkStart w:id="238"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9"/>
    <w:bookmarkStart w:id="90" w:name="ref-clarkAnnualWoodProduction2010"/>
    <w:p>
      <w:pPr>
        <w:pStyle w:val="Bibliography"/>
      </w:pP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Oberbauer SF</w:t>
      </w:r>
      <w:r>
        <w:t xml:space="preserve">.</w:t>
      </w:r>
      <w:r>
        <w:t xml:space="preserve"> </w:t>
      </w:r>
      <w:r>
        <w:rPr>
          <w:b/>
        </w:rPr>
        <w:t xml:space="preserve">2010</w:t>
      </w:r>
      <w:r>
        <w:t xml:space="preserve">. Annual wood production in a tropical rain forest in NE Costa Rica linked to climatic variation but not to increasing CO2.</w:t>
      </w:r>
      <w:r>
        <w:t xml:space="preserve"> </w:t>
      </w:r>
      <w:r>
        <w:rPr>
          <w:i/>
        </w:rPr>
        <w:t xml:space="preserve">Global Change Biology</w:t>
      </w:r>
      <w:r>
        <w:t xml:space="preserve"> </w:t>
      </w:r>
      <w:r>
        <w:rPr>
          <w:b/>
        </w:rPr>
        <w:t xml:space="preserve">16</w:t>
      </w:r>
      <w:r>
        <w:t xml:space="preserve">: 747–759.</w:t>
      </w:r>
    </w:p>
    <w:bookmarkEnd w:id="90"/>
    <w:bookmarkStart w:id="91" w:name="ref-clarkTropicalRainForest2003"/>
    <w:p>
      <w:pPr>
        <w:pStyle w:val="Bibliography"/>
      </w:pPr>
      <w:r>
        <w:rPr>
          <w:b w:val="0"/>
          <w:b/>
        </w:rPr>
        <w:t xml:space="preserve">Clark DA</w:t>
      </w:r>
      <w:r>
        <w:rPr>
          <w:b/>
        </w:rPr>
        <w:t xml:space="preserve">,</w:t>
      </w:r>
      <w:r>
        <w:rPr>
          <w:b/>
        </w:rPr>
        <w:t xml:space="preserve"> </w:t>
      </w:r>
      <w:r>
        <w:rPr>
          <w:b w:val="0"/>
          <w:b/>
        </w:rPr>
        <w:t xml:space="preserve">Piper SC</w:t>
      </w:r>
      <w:r>
        <w:rPr>
          <w:b/>
        </w:rPr>
        <w:t xml:space="preserve">,</w:t>
      </w:r>
      <w:r>
        <w:rPr>
          <w:b/>
        </w:rPr>
        <w:t xml:space="preserve"> </w:t>
      </w:r>
      <w:r>
        <w:rPr>
          <w:b w:val="0"/>
          <w:b/>
        </w:rPr>
        <w:t xml:space="preserve">Keeling CD</w:t>
      </w:r>
      <w:r>
        <w:rPr>
          <w:b/>
        </w:rPr>
        <w:t xml:space="preserve">,</w:t>
      </w:r>
      <w:r>
        <w:rPr>
          <w:b/>
        </w:rPr>
        <w:t xml:space="preserve"> </w:t>
      </w:r>
      <w:r>
        <w:rPr>
          <w:b w:val="0"/>
          <w:b/>
        </w:rPr>
        <w:t xml:space="preserve">Clark DB</w:t>
      </w:r>
      <w:r>
        <w:t xml:space="preserve">.</w:t>
      </w:r>
      <w:r>
        <w:t xml:space="preserve"> </w:t>
      </w:r>
      <w:r>
        <w:rPr>
          <w:b/>
        </w:rPr>
        <w:t xml:space="preserve">2003</w:t>
      </w:r>
      <w:r>
        <w:t xml:space="preserve">. Tropical rain forest tree growth and atmospheric carbon dynamics linked to interannual temperature variation during 1984–2000.</w:t>
      </w:r>
      <w:r>
        <w:t xml:space="preserve"> </w:t>
      </w:r>
      <w:r>
        <w:rPr>
          <w:i/>
        </w:rPr>
        <w:t xml:space="preserve">PNAS</w:t>
      </w:r>
      <w:r>
        <w:t xml:space="preserve"> </w:t>
      </w:r>
      <w:r>
        <w:rPr>
          <w:b/>
        </w:rPr>
        <w:t xml:space="preserve">100</w:t>
      </w:r>
      <w:r>
        <w:t xml:space="preserve">: 5852–5857.</w:t>
      </w:r>
    </w:p>
    <w:bookmarkEnd w:id="91"/>
    <w:bookmarkStart w:id="92"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6"/>
    <w:bookmarkStart w:id="97"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7"/>
    <w:bookmarkStart w:id="98"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1"/>
    <w:bookmarkStart w:id="102"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2"/>
    <w:bookmarkStart w:id="103"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3"/>
    <w:bookmarkStart w:id="104"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4"/>
    <w:bookmarkStart w:id="105"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5"/>
    <w:bookmarkStart w:id="10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6"/>
    <w:bookmarkStart w:id="10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7"/>
    <w:bookmarkStart w:id="108" w:name="Xbbcad8a75b8934503d33b0b68611208b86c5c5b"/>
    <w:p>
      <w:pPr>
        <w:pStyle w:val="Bibliography"/>
      </w:pPr>
      <w:r>
        <w:rPr>
          <w:b w:val="0"/>
          <w:b/>
        </w:rPr>
        <w:t xml:space="preserve">Feeley KJ</w:t>
      </w:r>
      <w:r>
        <w:rPr>
          <w:b/>
        </w:rPr>
        <w:t xml:space="preserve">,</w:t>
      </w:r>
      <w:r>
        <w:rPr>
          <w:b/>
        </w:rPr>
        <w:t xml:space="preserve"> </w:t>
      </w:r>
      <w:r>
        <w:rPr>
          <w:b w:val="0"/>
          <w:b/>
        </w:rPr>
        <w:t xml:space="preserve">Wright SJ</w:t>
      </w:r>
      <w:r>
        <w:rPr>
          <w:b/>
        </w:rPr>
        <w:t xml:space="preserve">,</w:t>
      </w:r>
      <w:r>
        <w:rPr>
          <w:b/>
        </w:rPr>
        <w:t xml:space="preserve"> </w:t>
      </w:r>
      <w:r>
        <w:rPr>
          <w:b w:val="0"/>
          <w:b/>
        </w:rPr>
        <w:t xml:space="preserve">Supardi MNN</w:t>
      </w:r>
      <w:r>
        <w:rPr>
          <w:b/>
        </w:rPr>
        <w:t xml:space="preserve">,</w:t>
      </w:r>
      <w:r>
        <w:rPr>
          <w:b/>
        </w:rPr>
        <w:t xml:space="preserve"> </w:t>
      </w:r>
      <w:r>
        <w:rPr>
          <w:b w:val="0"/>
          <w:b/>
        </w:rPr>
        <w:t xml:space="preserve">Kassim AR</w:t>
      </w:r>
      <w:r>
        <w:rPr>
          <w:b/>
        </w:rPr>
        <w:t xml:space="preserve">,</w:t>
      </w:r>
      <w:r>
        <w:rPr>
          <w:b/>
        </w:rPr>
        <w:t xml:space="preserve"> </w:t>
      </w:r>
      <w:r>
        <w:rPr>
          <w:b w:val="0"/>
          <w:b/>
        </w:rPr>
        <w:t xml:space="preserve">Davies SJ</w:t>
      </w:r>
      <w:r>
        <w:t xml:space="preserve">.</w:t>
      </w:r>
      <w:r>
        <w:t xml:space="preserve"> </w:t>
      </w:r>
      <w:r>
        <w:rPr>
          <w:b/>
        </w:rPr>
        <w:t xml:space="preserve">2007</w:t>
      </w:r>
      <w:r>
        <w:t xml:space="preserve">. Decelerating growth in tropical forest trees.</w:t>
      </w:r>
      <w:r>
        <w:t xml:space="preserve"> </w:t>
      </w:r>
      <w:r>
        <w:rPr>
          <w:i/>
        </w:rPr>
        <w:t xml:space="preserve">Ecology Letters</w:t>
      </w:r>
      <w:r>
        <w:t xml:space="preserve"> </w:t>
      </w:r>
      <w:r>
        <w:rPr>
          <w:b/>
        </w:rPr>
        <w:t xml:space="preserve">10</w:t>
      </w:r>
      <w:r>
        <w:t xml:space="preserve">: 461–469.</w:t>
      </w:r>
    </w:p>
    <w:bookmarkEnd w:id="108"/>
    <w:bookmarkStart w:id="109"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9"/>
    <w:bookmarkStart w:id="110"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10"/>
    <w:bookmarkStart w:id="111"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1"/>
    <w:bookmarkStart w:id="11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41"/>
    <w:bookmarkStart w:id="142"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2"/>
    <w:bookmarkStart w:id="143"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9"/>
    <w:bookmarkStart w:id="15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0"/>
    <w:bookmarkStart w:id="151"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1"/>
    <w:bookmarkStart w:id="152"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2"/>
    <w:bookmarkStart w:id="153"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3"/>
    <w:bookmarkStart w:id="154"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4"/>
    <w:bookmarkStart w:id="155"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5"/>
    <w:bookmarkStart w:id="156"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6"/>
    <w:bookmarkStart w:id="157"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7"/>
    <w:bookmarkStart w:id="158"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8"/>
    <w:bookmarkStart w:id="159"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9"/>
    <w:bookmarkStart w:id="160"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0"/>
    <w:bookmarkStart w:id="16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1"/>
    <w:bookmarkStart w:id="16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2"/>
    <w:bookmarkStart w:id="16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3"/>
    <w:bookmarkStart w:id="16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4"/>
    <w:bookmarkStart w:id="16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5"/>
    <w:bookmarkStart w:id="16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6"/>
    <w:bookmarkStart w:id="16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7"/>
    <w:bookmarkStart w:id="16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8"/>
    <w:bookmarkStart w:id="16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9"/>
    <w:bookmarkStart w:id="17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0"/>
    <w:bookmarkStart w:id="17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1"/>
    <w:bookmarkStart w:id="17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2"/>
    <w:bookmarkStart w:id="173"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3"/>
    <w:bookmarkStart w:id="174"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4"/>
    <w:bookmarkStart w:id="175"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5"/>
    <w:bookmarkStart w:id="176"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6"/>
    <w:bookmarkStart w:id="177"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7"/>
    <w:bookmarkStart w:id="178"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78"/>
    <w:bookmarkStart w:id="179"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9"/>
    <w:bookmarkStart w:id="180"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0"/>
    <w:bookmarkStart w:id="181"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1"/>
    <w:bookmarkStart w:id="182"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2"/>
    <w:bookmarkStart w:id="183"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3"/>
    <w:bookmarkStart w:id="184"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4"/>
    <w:bookmarkStart w:id="185"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5"/>
    <w:bookmarkStart w:id="186"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6"/>
    <w:bookmarkStart w:id="187"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7"/>
    <w:bookmarkStart w:id="188"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8"/>
    <w:bookmarkStart w:id="189"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9"/>
    <w:bookmarkStart w:id="190"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0"/>
    <w:bookmarkStart w:id="191"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1"/>
    <w:bookmarkStart w:id="192"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2"/>
    <w:bookmarkStart w:id="193"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3"/>
    <w:bookmarkStart w:id="194"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4"/>
    <w:bookmarkStart w:id="195"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5"/>
    <w:bookmarkStart w:id="196"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6"/>
    <w:bookmarkStart w:id="19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197"/>
    <w:bookmarkStart w:id="19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8"/>
    <w:bookmarkStart w:id="19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9"/>
    <w:bookmarkStart w:id="20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0"/>
    <w:bookmarkStart w:id="20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1"/>
    <w:bookmarkStart w:id="20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2"/>
    <w:bookmarkStart w:id="20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3"/>
    <w:bookmarkStart w:id="20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4"/>
    <w:bookmarkStart w:id="20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5"/>
    <w:bookmarkStart w:id="20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6"/>
    <w:bookmarkStart w:id="207"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07"/>
    <w:bookmarkStart w:id="208" w:name="ref-stovallTreeHeightExplains2019b"/>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 Commun</w:t>
      </w:r>
      <w:r>
        <w:t xml:space="preserve"> </w:t>
      </w:r>
      <w:r>
        <w:rPr>
          <w:b/>
        </w:rPr>
        <w:t xml:space="preserve">10</w:t>
      </w:r>
      <w:r>
        <w:t xml:space="preserve">: 4385.</w:t>
      </w:r>
    </w:p>
    <w:bookmarkEnd w:id="208"/>
    <w:bookmarkStart w:id="209"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9"/>
    <w:bookmarkStart w:id="210"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0"/>
    <w:bookmarkStart w:id="211"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1"/>
    <w:bookmarkStart w:id="212"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2"/>
    <w:bookmarkStart w:id="213"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3"/>
    <w:bookmarkStart w:id="214"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4"/>
    <w:bookmarkStart w:id="215"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5"/>
    <w:bookmarkStart w:id="216"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16"/>
    <w:bookmarkStart w:id="217"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7"/>
    <w:bookmarkStart w:id="218"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8"/>
    <w:bookmarkStart w:id="219"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19"/>
    <w:bookmarkStart w:id="220" w:name="ref-vlamTemperatureRainfallStrongly2014"/>
    <w:p>
      <w:pPr>
        <w:pStyle w:val="Bibliography"/>
      </w:pPr>
      <w:r>
        <w:rPr>
          <w:b w:val="0"/>
          <w:b/>
        </w:rPr>
        <w:t xml:space="preserve">Vlam M</w:t>
      </w:r>
      <w:r>
        <w:rPr>
          <w:b/>
        </w:rPr>
        <w:t xml:space="preserve">,</w:t>
      </w:r>
      <w:r>
        <w:rPr>
          <w:b/>
        </w:rPr>
        <w:t xml:space="preserve"> </w:t>
      </w:r>
      <w:r>
        <w:rPr>
          <w:b w:val="0"/>
          <w:b/>
        </w:rPr>
        <w:t xml:space="preserve">Baker PJ</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Zuidema PA</w:t>
      </w:r>
      <w:r>
        <w:t xml:space="preserve">.</w:t>
      </w:r>
      <w:r>
        <w:t xml:space="preserve"> </w:t>
      </w:r>
      <w:r>
        <w:rPr>
          <w:b/>
        </w:rPr>
        <w:t xml:space="preserve">2014</w:t>
      </w:r>
      <w:r>
        <w:t xml:space="preserve">. Temperature and rainfall strongly drive temporal growth variation in Asian tropical forest trees.</w:t>
      </w:r>
      <w:r>
        <w:t xml:space="preserve"> </w:t>
      </w:r>
      <w:r>
        <w:rPr>
          <w:i/>
        </w:rPr>
        <w:t xml:space="preserve">Oecologia</w:t>
      </w:r>
      <w:r>
        <w:t xml:space="preserve"> </w:t>
      </w:r>
      <w:r>
        <w:rPr>
          <w:b/>
        </w:rPr>
        <w:t xml:space="preserve">174</w:t>
      </w:r>
      <w:r>
        <w:t xml:space="preserve">: 1449–1461.</w:t>
      </w:r>
    </w:p>
    <w:bookmarkEnd w:id="220"/>
    <w:bookmarkStart w:id="221"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1"/>
    <w:bookmarkStart w:id="222"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2"/>
    <w:bookmarkStart w:id="223"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3"/>
    <w:bookmarkStart w:id="224"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4"/>
    <w:bookmarkStart w:id="225"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5"/>
    <w:bookmarkStart w:id="226"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26"/>
    <w:bookmarkStart w:id="227"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27"/>
    <w:bookmarkStart w:id="228"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8"/>
    <w:bookmarkStart w:id="229"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9"/>
    <w:bookmarkStart w:id="230"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0"/>
    <w:bookmarkStart w:id="231"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1"/>
    <w:bookmarkStart w:id="232"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2"/>
    <w:bookmarkStart w:id="233"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3"/>
    <w:bookmarkStart w:id="234"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4"/>
    <w:bookmarkStart w:id="235"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35"/>
    <w:bookmarkStart w:id="236"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6"/>
    <w:bookmarkStart w:id="237"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7"/>
    <w:bookmarkEnd w:id="238"/>
    <w:bookmarkEnd w:id="239"/>
    <w:bookmarkEnd w:id="2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2021-07-27T14:26:28Z</dcterms:created>
  <dcterms:modified xsi:type="dcterms:W3CDTF">2021-07-27T14:26:28Z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